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12" w:rsidRDefault="00D45E12" w:rsidP="00D45E12">
      <w:r w:rsidRPr="00952F32">
        <w:rPr>
          <w:rFonts w:eastAsia="Calibri"/>
          <w:noProof/>
          <w:color w:val="0000FF"/>
          <w:sz w:val="24"/>
          <w:szCs w:val="24"/>
          <w:lang w:eastAsia="nb-NO"/>
        </w:rPr>
        <w:drawing>
          <wp:inline distT="0" distB="0" distL="0" distR="0" wp14:anchorId="1C8C1942" wp14:editId="45B1B452">
            <wp:extent cx="2171700" cy="409575"/>
            <wp:effectExtent l="0" t="0" r="0" b="9525"/>
            <wp:docPr id="3" name="Bilde 3" descr="Fagforbundet nettbutik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agforbundet nettbutik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286">
        <w:t xml:space="preserve">                                                          </w:t>
      </w:r>
      <w:r w:rsidR="00B52286" w:rsidRPr="00B52286">
        <w:rPr>
          <w:sz w:val="28"/>
          <w:szCs w:val="28"/>
        </w:rPr>
        <w:t>Kirkenes 15.08.20</w:t>
      </w:r>
      <w:r w:rsidR="00B52286">
        <w:rPr>
          <w:sz w:val="28"/>
          <w:szCs w:val="28"/>
        </w:rPr>
        <w:t>20.</w:t>
      </w:r>
    </w:p>
    <w:p w:rsidR="00D45E12" w:rsidRDefault="00D45E12" w:rsidP="00D45E12"/>
    <w:p w:rsidR="00D45E12" w:rsidRDefault="00D45E12" w:rsidP="00D45E12"/>
    <w:p w:rsidR="00D45E12" w:rsidRDefault="00D45E12" w:rsidP="00D45E12"/>
    <w:p w:rsidR="00D45E12" w:rsidRPr="00D45E12" w:rsidRDefault="00D45E12" w:rsidP="00D45E12">
      <w:pPr>
        <w:rPr>
          <w:b/>
          <w:sz w:val="28"/>
          <w:szCs w:val="28"/>
          <w:u w:val="single"/>
        </w:rPr>
      </w:pPr>
      <w:r w:rsidRPr="00D45E12">
        <w:rPr>
          <w:b/>
          <w:sz w:val="28"/>
          <w:szCs w:val="28"/>
          <w:u w:val="single"/>
        </w:rPr>
        <w:t>Tilbakemelding på Høringsutkast strategisk plan i skole og oppvekst.</w:t>
      </w:r>
    </w:p>
    <w:p w:rsidR="00D45E12" w:rsidRDefault="00D45E12" w:rsidP="00D45E12"/>
    <w:p w:rsidR="00D45E12" w:rsidRPr="00667E23" w:rsidRDefault="00D45E12" w:rsidP="00D45E12"/>
    <w:p w:rsidR="00D45E12" w:rsidRPr="00EC3EB6" w:rsidRDefault="00D45E12" w:rsidP="00D45E12">
      <w:pPr>
        <w:rPr>
          <w:sz w:val="24"/>
          <w:szCs w:val="24"/>
        </w:rPr>
      </w:pPr>
      <w:r w:rsidRPr="00EC3EB6">
        <w:rPr>
          <w:sz w:val="24"/>
          <w:szCs w:val="24"/>
        </w:rPr>
        <w:t>Fagforbundet som er en part opp mot arbeidsgiver mener at man ikke er blitt ivaretatt i prosessen som omhandler strategisk plan skole og oppvekst og de tilbakemelding til fagforb</w:t>
      </w:r>
      <w:r w:rsidR="00E862C9">
        <w:rPr>
          <w:sz w:val="24"/>
          <w:szCs w:val="24"/>
        </w:rPr>
        <w:t>undet som kommunalsjef har gitt</w:t>
      </w:r>
      <w:r w:rsidRPr="00EC3EB6">
        <w:rPr>
          <w:sz w:val="24"/>
          <w:szCs w:val="24"/>
        </w:rPr>
        <w:t xml:space="preserve"> mener fagforbundet er et brudd på praktisering av hovedavtalen med den kommunikasjons strategien som kommunalsjef viser til.</w:t>
      </w:r>
    </w:p>
    <w:p w:rsidR="00667E23" w:rsidRPr="00EC3EB6" w:rsidRDefault="00667E23" w:rsidP="00D45E12">
      <w:pPr>
        <w:rPr>
          <w:sz w:val="24"/>
          <w:szCs w:val="24"/>
        </w:rPr>
      </w:pPr>
    </w:p>
    <w:p w:rsidR="00B52286" w:rsidRPr="00EC3EB6" w:rsidRDefault="00667E23" w:rsidP="00D45E12">
      <w:pPr>
        <w:rPr>
          <w:sz w:val="24"/>
          <w:szCs w:val="24"/>
        </w:rPr>
      </w:pPr>
      <w:r w:rsidRPr="00EC3EB6">
        <w:rPr>
          <w:sz w:val="24"/>
          <w:szCs w:val="24"/>
        </w:rPr>
        <w:t>Kommunalsjef mener at de har oppfylt kravet om medvirkning ved at Utdanningsforbundet har vert i arbeidsgruppa for strategisk plan i skole og oppvekst.</w:t>
      </w:r>
    </w:p>
    <w:p w:rsidR="00B52286" w:rsidRPr="00EC3EB6" w:rsidRDefault="00B52286" w:rsidP="00D45E12">
      <w:pPr>
        <w:rPr>
          <w:sz w:val="24"/>
          <w:szCs w:val="24"/>
        </w:rPr>
      </w:pPr>
    </w:p>
    <w:p w:rsidR="00B52286" w:rsidRPr="00EC3EB6" w:rsidRDefault="00667E23" w:rsidP="00D45E12">
      <w:pPr>
        <w:rPr>
          <w:sz w:val="24"/>
          <w:szCs w:val="24"/>
        </w:rPr>
      </w:pPr>
      <w:r w:rsidRPr="00EC3EB6">
        <w:rPr>
          <w:sz w:val="24"/>
          <w:szCs w:val="24"/>
        </w:rPr>
        <w:t xml:space="preserve"> Fagforbundet mener at det er formålstjenlig at utdanningsforbundet sitter i en slik arbeidsgruppe i skole og oppvekst</w:t>
      </w:r>
      <w:r w:rsidR="00B52286" w:rsidRPr="00EC3EB6">
        <w:rPr>
          <w:sz w:val="24"/>
          <w:szCs w:val="24"/>
        </w:rPr>
        <w:t>, men det fratar ikke kommunalsjef ansvaret for at utdanningsforbundet informerer de berørte organisasjonene</w:t>
      </w:r>
      <w:r w:rsidR="00EC3EB6">
        <w:rPr>
          <w:sz w:val="24"/>
          <w:szCs w:val="24"/>
        </w:rPr>
        <w:t xml:space="preserve"> under prosessen</w:t>
      </w:r>
      <w:r w:rsidR="00B52286" w:rsidRPr="00EC3EB6">
        <w:rPr>
          <w:sz w:val="24"/>
          <w:szCs w:val="24"/>
        </w:rPr>
        <w:t>.</w:t>
      </w:r>
    </w:p>
    <w:p w:rsidR="00B52286" w:rsidRPr="00EC3EB6" w:rsidRDefault="00B52286" w:rsidP="00D45E12">
      <w:pPr>
        <w:rPr>
          <w:sz w:val="24"/>
          <w:szCs w:val="24"/>
        </w:rPr>
      </w:pPr>
    </w:p>
    <w:p w:rsidR="00D45E12" w:rsidRPr="00EC3EB6" w:rsidRDefault="00667E23" w:rsidP="00D45E12">
      <w:pPr>
        <w:rPr>
          <w:sz w:val="24"/>
          <w:szCs w:val="24"/>
        </w:rPr>
      </w:pPr>
      <w:r w:rsidRPr="00EC3EB6">
        <w:rPr>
          <w:sz w:val="24"/>
          <w:szCs w:val="24"/>
        </w:rPr>
        <w:t xml:space="preserve"> Det som er viktig i slike arbeidsgrupper er og informere underveis alle de som blir berørt og det er naturlig og involvere disse organisasjonene, slik at eventuelle innspill fra alle </w:t>
      </w:r>
      <w:r w:rsidR="00B52286" w:rsidRPr="00EC3EB6">
        <w:rPr>
          <w:sz w:val="24"/>
          <w:szCs w:val="24"/>
        </w:rPr>
        <w:t xml:space="preserve">de berørte </w:t>
      </w:r>
      <w:r w:rsidRPr="00EC3EB6">
        <w:rPr>
          <w:sz w:val="24"/>
          <w:szCs w:val="24"/>
        </w:rPr>
        <w:t>organisasjonene blir tatt opp i arbeidsgruppa. Dette har vært helt fraværende.</w:t>
      </w:r>
    </w:p>
    <w:p w:rsidR="00B52286" w:rsidRPr="00EC3EB6" w:rsidRDefault="00B52286" w:rsidP="00D45E12">
      <w:pPr>
        <w:rPr>
          <w:sz w:val="24"/>
          <w:szCs w:val="24"/>
        </w:rPr>
      </w:pPr>
    </w:p>
    <w:p w:rsidR="00B52286" w:rsidRPr="00EC3EB6" w:rsidRDefault="00B52286" w:rsidP="00D45E12">
      <w:pPr>
        <w:rPr>
          <w:sz w:val="24"/>
          <w:szCs w:val="24"/>
        </w:rPr>
      </w:pPr>
      <w:r w:rsidRPr="00EC3EB6">
        <w:rPr>
          <w:sz w:val="24"/>
          <w:szCs w:val="24"/>
        </w:rPr>
        <w:t>Nå skal fagforbundet gi en uttalelse på denne planen ut i fra det grunnlaget at fagforbundet ikke har vert med i denne prosessen man har hat</w:t>
      </w:r>
      <w:r w:rsidR="00E46555">
        <w:rPr>
          <w:sz w:val="24"/>
          <w:szCs w:val="24"/>
        </w:rPr>
        <w:t>t i forkant av plan dokumentet</w:t>
      </w:r>
      <w:r w:rsidR="00E862C9">
        <w:rPr>
          <w:sz w:val="24"/>
          <w:szCs w:val="24"/>
        </w:rPr>
        <w:t xml:space="preserve"> som innebærer at man ikke har kjentskap hvordan man kar kommet fram til</w:t>
      </w:r>
      <w:r w:rsidR="00E46555">
        <w:rPr>
          <w:sz w:val="24"/>
          <w:szCs w:val="24"/>
        </w:rPr>
        <w:t xml:space="preserve"> ha</w:t>
      </w:r>
      <w:r w:rsidR="00E862C9">
        <w:rPr>
          <w:sz w:val="24"/>
          <w:szCs w:val="24"/>
        </w:rPr>
        <w:t>ndlingsplaner og tiltakene som er laget</w:t>
      </w:r>
      <w:r w:rsidRPr="00EC3EB6">
        <w:rPr>
          <w:sz w:val="24"/>
          <w:szCs w:val="24"/>
        </w:rPr>
        <w:t>, dette innebærer at fagforbundet ikke har fått mulighet for og kanskje ivareta interessen for sine medlemmer, noe som er veldig uheldig.</w:t>
      </w:r>
    </w:p>
    <w:p w:rsidR="00E862C9" w:rsidRPr="00EC3EB6" w:rsidRDefault="00E862C9" w:rsidP="00D45E12">
      <w:pPr>
        <w:rPr>
          <w:sz w:val="24"/>
          <w:szCs w:val="24"/>
        </w:rPr>
      </w:pPr>
      <w:bookmarkStart w:id="0" w:name="_GoBack"/>
      <w:bookmarkEnd w:id="0"/>
    </w:p>
    <w:p w:rsidR="00EC3EB6" w:rsidRDefault="00EC3EB6" w:rsidP="00D45E12">
      <w:pPr>
        <w:rPr>
          <w:sz w:val="24"/>
          <w:szCs w:val="24"/>
        </w:rPr>
      </w:pPr>
      <w:r w:rsidRPr="00EC3EB6">
        <w:rPr>
          <w:sz w:val="24"/>
          <w:szCs w:val="24"/>
        </w:rPr>
        <w:t>Fagforbundet mener at dette ikke er Sør-Varanger kommunen sin måte og ivareta partsamarbeidet i framtiden og håper at dette ikke blir standarden fram i tid i skole og oppvekst.</w:t>
      </w:r>
    </w:p>
    <w:p w:rsidR="00EC3EB6" w:rsidRDefault="00EC3EB6" w:rsidP="00D45E12">
      <w:pPr>
        <w:rPr>
          <w:sz w:val="24"/>
          <w:szCs w:val="24"/>
        </w:rPr>
      </w:pPr>
    </w:p>
    <w:p w:rsidR="00EC3EB6" w:rsidRPr="00EC3EB6" w:rsidRDefault="00EC3EB6" w:rsidP="00D45E12">
      <w:pPr>
        <w:rPr>
          <w:sz w:val="24"/>
          <w:szCs w:val="24"/>
        </w:rPr>
      </w:pPr>
    </w:p>
    <w:p w:rsidR="00EC3EB6" w:rsidRDefault="00EC3EB6" w:rsidP="00D45E12">
      <w:pPr>
        <w:rPr>
          <w:sz w:val="28"/>
          <w:szCs w:val="28"/>
        </w:rPr>
      </w:pPr>
    </w:p>
    <w:p w:rsidR="00B52286" w:rsidRPr="00EC3EB6" w:rsidRDefault="00EC3EB6" w:rsidP="00D45E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EC3EB6">
        <w:rPr>
          <w:sz w:val="28"/>
          <w:szCs w:val="28"/>
          <w:u w:val="single"/>
        </w:rPr>
        <w:t>Henviser til Hovedavtalen:</w:t>
      </w:r>
    </w:p>
    <w:p w:rsidR="00D45E12" w:rsidRDefault="00E46555" w:rsidP="00D45E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46555" w:rsidRPr="00E46555" w:rsidRDefault="00E46555" w:rsidP="00D45E12">
      <w:pPr>
        <w:rPr>
          <w:sz w:val="28"/>
          <w:szCs w:val="28"/>
        </w:rPr>
      </w:pPr>
      <w:r w:rsidRPr="00E46555">
        <w:rPr>
          <w:sz w:val="28"/>
          <w:szCs w:val="28"/>
          <w:u w:val="single"/>
        </w:rPr>
        <w:t xml:space="preserve">    Veileder til Hovedavtalen</w:t>
      </w:r>
      <w:r w:rsidRPr="00E46555">
        <w:rPr>
          <w:sz w:val="28"/>
          <w:szCs w:val="28"/>
        </w:rPr>
        <w:t>.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PublicoText-Semibold" w:hAnsi="PublicoText-Semibold" w:cs="PublicoText-Semibold"/>
          <w:sz w:val="24"/>
          <w:szCs w:val="24"/>
        </w:rPr>
      </w:pPr>
      <w:r w:rsidRPr="00D45E12">
        <w:rPr>
          <w:rFonts w:asciiTheme="minorHAnsi" w:hAnsiTheme="minorHAnsi" w:cstheme="minorBidi"/>
          <w:b/>
          <w:sz w:val="24"/>
          <w:szCs w:val="24"/>
        </w:rPr>
        <w:t xml:space="preserve">  </w:t>
      </w:r>
      <w:r w:rsidRPr="00D45E12">
        <w:rPr>
          <w:rFonts w:ascii="PublicoText-Semibold" w:hAnsi="PublicoText-Semibold" w:cs="PublicoText-Semibold"/>
          <w:sz w:val="24"/>
          <w:szCs w:val="24"/>
        </w:rPr>
        <w:t>§ 1-3 Former for medbestemmelse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PublicoText-Semibold" w:hAnsi="PublicoText-Semibold" w:cs="PublicoText-Semibold"/>
          <w:sz w:val="24"/>
          <w:szCs w:val="24"/>
        </w:rPr>
      </w:pPr>
    </w:p>
    <w:p w:rsidR="00D45E12" w:rsidRPr="00D45E12" w:rsidRDefault="00D45E12" w:rsidP="00D45E12">
      <w:pPr>
        <w:autoSpaceDE w:val="0"/>
        <w:autoSpaceDN w:val="0"/>
        <w:adjustRightInd w:val="0"/>
        <w:rPr>
          <w:rFonts w:ascii="PublicoText-Roman" w:hAnsi="PublicoText-Roman" w:cs="PublicoText-Roman"/>
          <w:sz w:val="24"/>
          <w:szCs w:val="24"/>
        </w:rPr>
      </w:pPr>
      <w:r w:rsidRPr="00D45E12">
        <w:rPr>
          <w:rFonts w:ascii="PublicoText-Roman" w:hAnsi="PublicoText-Roman" w:cs="PublicoText-Roman"/>
          <w:sz w:val="24"/>
          <w:szCs w:val="24"/>
        </w:rPr>
        <w:t>Medbestemmelse utøves ved representasjon i lovbestemte og andre utvalg og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PublicoText-Roman" w:hAnsi="PublicoText-Roman" w:cs="PublicoText-Roman"/>
          <w:sz w:val="28"/>
          <w:szCs w:val="28"/>
        </w:rPr>
      </w:pPr>
      <w:r w:rsidRPr="00D45E12">
        <w:rPr>
          <w:rFonts w:ascii="PublicoText-Roman" w:hAnsi="PublicoText-Roman" w:cs="PublicoText-Roman"/>
          <w:sz w:val="24"/>
          <w:szCs w:val="24"/>
        </w:rPr>
        <w:t>Gjennom ordningen med tillitsvalgte</w:t>
      </w:r>
      <w:r w:rsidRPr="00D45E12">
        <w:rPr>
          <w:rFonts w:ascii="PublicoText-Roman" w:hAnsi="PublicoText-Roman" w:cs="PublicoText-Roman"/>
          <w:sz w:val="28"/>
          <w:szCs w:val="28"/>
        </w:rPr>
        <w:t>.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PublicoText-Roman" w:hAnsi="PublicoText-Roman" w:cs="PublicoText-Roman"/>
          <w:sz w:val="28"/>
          <w:szCs w:val="28"/>
        </w:rPr>
      </w:pPr>
    </w:p>
    <w:p w:rsidR="00D45E12" w:rsidRPr="00D45E12" w:rsidRDefault="00D45E12" w:rsidP="00D45E12">
      <w:pPr>
        <w:autoSpaceDE w:val="0"/>
        <w:autoSpaceDN w:val="0"/>
        <w:adjustRightInd w:val="0"/>
        <w:rPr>
          <w:rFonts w:ascii="PublicoText-Roman" w:hAnsi="PublicoText-Roman" w:cs="PublicoText-Roman"/>
          <w:sz w:val="28"/>
          <w:szCs w:val="28"/>
        </w:rPr>
      </w:pPr>
      <w:r w:rsidRPr="00D45E12">
        <w:rPr>
          <w:rFonts w:ascii="PublicoText-Roman" w:hAnsi="PublicoText-Roman" w:cs="PublicoText-Roman"/>
          <w:sz w:val="28"/>
          <w:szCs w:val="28"/>
        </w:rPr>
        <w:t>Partene skal som hovedregel være representert i ad hoc-utvalg o.l. som utreder</w:t>
      </w:r>
    </w:p>
    <w:p w:rsidR="00D45E12" w:rsidRDefault="00D45E12" w:rsidP="00D45E12">
      <w:pPr>
        <w:spacing w:after="160" w:line="259" w:lineRule="auto"/>
        <w:rPr>
          <w:rFonts w:ascii="PublicoText-Roman" w:hAnsi="PublicoText-Roman" w:cs="PublicoText-Roman"/>
          <w:sz w:val="28"/>
          <w:szCs w:val="28"/>
        </w:rPr>
      </w:pPr>
      <w:r w:rsidRPr="00D45E12">
        <w:rPr>
          <w:rFonts w:ascii="PublicoText-Roman" w:hAnsi="PublicoText-Roman" w:cs="PublicoText-Roman"/>
          <w:sz w:val="28"/>
          <w:szCs w:val="28"/>
        </w:rPr>
        <w:t>Administrative spørsmål.</w:t>
      </w:r>
    </w:p>
    <w:p w:rsidR="00EC3EB6" w:rsidRDefault="00EC3EB6" w:rsidP="00D45E12">
      <w:pPr>
        <w:spacing w:after="160" w:line="259" w:lineRule="auto"/>
        <w:rPr>
          <w:rFonts w:ascii="PublicoText-Roman" w:hAnsi="PublicoText-Roman" w:cs="PublicoText-Roman"/>
          <w:sz w:val="28"/>
          <w:szCs w:val="28"/>
        </w:rPr>
      </w:pPr>
    </w:p>
    <w:p w:rsidR="00EC3EB6" w:rsidRPr="00D45E12" w:rsidRDefault="00EC3EB6" w:rsidP="00D45E12">
      <w:pPr>
        <w:spacing w:after="160" w:line="259" w:lineRule="auto"/>
        <w:rPr>
          <w:rFonts w:ascii="PublicoText-Roman" w:hAnsi="PublicoText-Roman" w:cs="PublicoText-Roman"/>
          <w:sz w:val="28"/>
          <w:szCs w:val="28"/>
        </w:rPr>
      </w:pP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HeavyOblique" w:hAnsi="Avenir-HeavyOblique" w:cs="Avenir-HeavyOblique"/>
          <w:iCs/>
          <w:sz w:val="24"/>
          <w:szCs w:val="24"/>
          <w:u w:val="single"/>
        </w:rPr>
      </w:pPr>
      <w:r w:rsidRPr="00D45E12">
        <w:rPr>
          <w:rFonts w:ascii="Avenir-HeavyOblique" w:hAnsi="Avenir-HeavyOblique" w:cs="Avenir-HeavyOblique"/>
          <w:iCs/>
          <w:sz w:val="24"/>
          <w:szCs w:val="24"/>
          <w:u w:val="single"/>
        </w:rPr>
        <w:t>Ad hoc-utvalg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HeavyOblique" w:hAnsi="Avenir-HeavyOblique" w:cs="Avenir-HeavyOblique"/>
          <w:iCs/>
          <w:sz w:val="24"/>
          <w:szCs w:val="24"/>
        </w:rPr>
      </w:pP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Medbestemmelse kan blant annet utøves gjennom ad hoc-utvalg, også ofte kalt partssammensatte arbeidsgrupper. Ved bruk av slike utvalg følger det av hovedavtalen del B § 1-3 at partene som hovedregel skal være representert i ad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proofErr w:type="gramStart"/>
      <w:r w:rsidRPr="00D45E12">
        <w:rPr>
          <w:rFonts w:ascii="Avenir-Book" w:hAnsi="Avenir-Book" w:cs="Avenir-Book"/>
        </w:rPr>
        <w:t>hoc</w:t>
      </w:r>
      <w:proofErr w:type="gramEnd"/>
      <w:r w:rsidRPr="00D45E12">
        <w:rPr>
          <w:rFonts w:ascii="Avenir-Book" w:hAnsi="Avenir-Book" w:cs="Avenir-Book"/>
        </w:rPr>
        <w:t>-utvalg som utreder administrative spørsmål. Det er arbeidsgiver som avgjør om slike utvalg skal nedsettes.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</w:p>
    <w:p w:rsidR="00D45E12" w:rsidRPr="00EC3EB6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Formålet med slike utvalg er å sikre ansattes medbestemmelsesrett i saker som berører dem. Bruken av slike utvalg vil imidlertid ikke erstatte drøftingsplikten etter hovedavtalen. I praksis vil slike utvalg ofte fremme forslag/anbefalinger som deretter skal drøftes etter hovedavtalen. Å etablere slike utvalg kan være hensiktsmessig</w:t>
      </w:r>
    </w:p>
    <w:p w:rsidR="00667E23" w:rsidRPr="00D45E12" w:rsidRDefault="00667E23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  <w:u w:val="single"/>
        </w:rPr>
      </w:pPr>
      <w:r w:rsidRPr="00D45E12">
        <w:rPr>
          <w:rFonts w:ascii="Avenir-Book" w:hAnsi="Avenir-Book" w:cs="Avenir-Book"/>
          <w:u w:val="single"/>
        </w:rPr>
        <w:t>Ved større prosesser, som ved: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• Gjennomgang av rutiner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• Sammenslåing av ulike virksomheter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• Virksomhetsutsetting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• Kommunesammenslåing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Sammensetningen av slike utvalg bør være rasjonell og hensiktsmessig. Det bør blant annet drøftes: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• Hvilke organisasjoner som blir berørt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MyriadPro-Regular" w:hAnsi="MyriadPro-Regular" w:cs="MyriadPro-Regular"/>
        </w:rPr>
        <w:t>»</w:t>
      </w:r>
      <w:r w:rsidRPr="00D45E12">
        <w:rPr>
          <w:rFonts w:ascii="Avenir-Book" w:hAnsi="Avenir-Book" w:cs="Avenir-Book"/>
        </w:rPr>
        <w:t>» Det er naturlig at det er disse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 xml:space="preserve">     Organisasjonene som involveres.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• Hvem de som deltar representerer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MyriadPro-Regular" w:hAnsi="MyriadPro-Regular" w:cs="MyriadPro-Regular"/>
        </w:rPr>
        <w:t>»</w:t>
      </w:r>
      <w:r w:rsidRPr="00D45E12">
        <w:rPr>
          <w:rFonts w:ascii="Avenir-Book" w:hAnsi="Avenir-Book" w:cs="Avenir-Book"/>
        </w:rPr>
        <w:t>» Organisasjonen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MyriadPro-Regular" w:hAnsi="MyriadPro-Regular" w:cs="MyriadPro-Regular"/>
        </w:rPr>
        <w:t>»</w:t>
      </w:r>
      <w:r w:rsidRPr="00D45E12">
        <w:rPr>
          <w:rFonts w:ascii="Avenir-Book" w:hAnsi="Avenir-Book" w:cs="Avenir-Book"/>
        </w:rPr>
        <w:t>» Sammenslutningen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>• Hvordan de øvrige organisasjonene</w:t>
      </w:r>
    </w:p>
    <w:p w:rsidR="00D45E12" w:rsidRPr="00D45E12" w:rsidRDefault="00D45E12" w:rsidP="00D45E12">
      <w:pPr>
        <w:autoSpaceDE w:val="0"/>
        <w:autoSpaceDN w:val="0"/>
        <w:adjustRightInd w:val="0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 xml:space="preserve">  </w:t>
      </w:r>
      <w:proofErr w:type="gramStart"/>
      <w:r w:rsidRPr="00D45E12">
        <w:rPr>
          <w:rFonts w:ascii="Avenir-Book" w:hAnsi="Avenir-Book" w:cs="Avenir-Book"/>
        </w:rPr>
        <w:t>skal</w:t>
      </w:r>
      <w:proofErr w:type="gramEnd"/>
      <w:r w:rsidRPr="00D45E12">
        <w:rPr>
          <w:rFonts w:ascii="Avenir-Book" w:hAnsi="Avenir-Book" w:cs="Avenir-Book"/>
        </w:rPr>
        <w:t xml:space="preserve"> få fremmet sine synspunkter inn i</w:t>
      </w:r>
    </w:p>
    <w:p w:rsidR="00D45E12" w:rsidRPr="00D45E12" w:rsidRDefault="00D45E12" w:rsidP="00D45E12">
      <w:pPr>
        <w:spacing w:after="160" w:line="259" w:lineRule="auto"/>
        <w:rPr>
          <w:rFonts w:ascii="Avenir-Book" w:hAnsi="Avenir-Book" w:cs="Avenir-Book"/>
        </w:rPr>
      </w:pPr>
      <w:r w:rsidRPr="00D45E12">
        <w:rPr>
          <w:rFonts w:ascii="Avenir-Book" w:hAnsi="Avenir-Book" w:cs="Avenir-Book"/>
        </w:rPr>
        <w:t xml:space="preserve">  Utvalgets arbeid.</w:t>
      </w:r>
    </w:p>
    <w:p w:rsidR="00D45E12" w:rsidRDefault="00D45E12" w:rsidP="00D45E12"/>
    <w:p w:rsidR="00D45E12" w:rsidRDefault="00D45E12"/>
    <w:p w:rsidR="00EC3EB6" w:rsidRDefault="00EC3EB6">
      <w:r w:rsidRPr="00952F32">
        <w:rPr>
          <w:rFonts w:eastAsia="Calibri"/>
          <w:noProof/>
          <w:color w:val="0000FF"/>
          <w:sz w:val="24"/>
          <w:szCs w:val="24"/>
          <w:lang w:eastAsia="nb-NO"/>
        </w:rPr>
        <w:drawing>
          <wp:inline distT="0" distB="0" distL="0" distR="0" wp14:anchorId="23000C65" wp14:editId="53E83517">
            <wp:extent cx="2171700" cy="409575"/>
            <wp:effectExtent l="0" t="0" r="0" b="9525"/>
            <wp:docPr id="1" name="Bilde 1" descr="Fagforbundet nettbutik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agforbundet nettbutik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E12" w:rsidRPr="00D45E12" w:rsidRDefault="00D45E12" w:rsidP="00D45E12"/>
    <w:p w:rsidR="00D45E12" w:rsidRPr="00D45E12" w:rsidRDefault="00D45E12" w:rsidP="00D45E12"/>
    <w:p w:rsidR="00EC3EB6" w:rsidRPr="00EC3EB6" w:rsidRDefault="00EC3EB6" w:rsidP="00EC3EB6">
      <w:pPr>
        <w:rPr>
          <w:rFonts w:eastAsia="Calibri"/>
          <w:sz w:val="28"/>
          <w:szCs w:val="28"/>
          <w:lang w:eastAsia="nb-NO"/>
        </w:rPr>
      </w:pPr>
      <w:r w:rsidRPr="00EC3EB6">
        <w:rPr>
          <w:rFonts w:eastAsia="Calibri"/>
          <w:sz w:val="28"/>
          <w:szCs w:val="28"/>
          <w:lang w:eastAsia="nb-NO"/>
        </w:rPr>
        <w:t>Trond Mikkola                                                      Sølvi Gullhav.</w:t>
      </w:r>
    </w:p>
    <w:p w:rsidR="00EC3EB6" w:rsidRPr="00EC3EB6" w:rsidRDefault="00EC3EB6" w:rsidP="00EC3EB6">
      <w:pPr>
        <w:rPr>
          <w:rFonts w:eastAsia="Calibri"/>
          <w:sz w:val="28"/>
          <w:szCs w:val="28"/>
          <w:lang w:eastAsia="nb-NO"/>
        </w:rPr>
      </w:pPr>
      <w:r w:rsidRPr="00EC3EB6">
        <w:rPr>
          <w:rFonts w:eastAsia="Calibri"/>
          <w:sz w:val="28"/>
          <w:szCs w:val="28"/>
          <w:lang w:eastAsia="nb-NO"/>
        </w:rPr>
        <w:t>Hovedtillitsvalgt.                                                  Hovedtillitsvalgt.</w:t>
      </w:r>
    </w:p>
    <w:p w:rsidR="00D45E12" w:rsidRDefault="00D45E12" w:rsidP="00D45E12"/>
    <w:p w:rsidR="00EC3EB6" w:rsidRDefault="00EC3EB6" w:rsidP="00D45E12"/>
    <w:p w:rsidR="00EC3EB6" w:rsidRPr="00D45E12" w:rsidRDefault="00EC3EB6" w:rsidP="00D45E12"/>
    <w:p w:rsidR="00D45E12" w:rsidRDefault="00D45E12" w:rsidP="00D45E12"/>
    <w:p w:rsidR="00D45E12" w:rsidRDefault="00D45E12" w:rsidP="00D45E12"/>
    <w:p w:rsidR="00D45E12" w:rsidRDefault="00D45E12" w:rsidP="00D45E12"/>
    <w:p w:rsidR="00D45E12" w:rsidRPr="00D45E12" w:rsidRDefault="00D45E12" w:rsidP="00D45E12"/>
    <w:sectPr w:rsidR="00D45E12" w:rsidRPr="00D4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oText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ublicoTex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Heavy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12"/>
    <w:rsid w:val="000E7D40"/>
    <w:rsid w:val="004935FC"/>
    <w:rsid w:val="00667E23"/>
    <w:rsid w:val="00B52286"/>
    <w:rsid w:val="00BF6B34"/>
    <w:rsid w:val="00D45E12"/>
    <w:rsid w:val="00E46555"/>
    <w:rsid w:val="00E862C9"/>
    <w:rsid w:val="00EC3EB6"/>
    <w:rsid w:val="00F7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8E8BD-95AC-410D-BE3B-DCAE1F6A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12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6B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5E0D7.23EBE3F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ettbutikk.fagforbundet.no/epages/fagforbundet.sf/no_NO/?ObjectPath=Categori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Sør-Varanger kommune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Mikkola</dc:creator>
  <cp:keywords/>
  <dc:description/>
  <cp:lastModifiedBy>Trond Mikkola</cp:lastModifiedBy>
  <cp:revision>2</cp:revision>
  <cp:lastPrinted>2020-06-25T11:02:00Z</cp:lastPrinted>
  <dcterms:created xsi:type="dcterms:W3CDTF">2020-06-26T06:22:00Z</dcterms:created>
  <dcterms:modified xsi:type="dcterms:W3CDTF">2020-06-26T06:22:00Z</dcterms:modified>
</cp:coreProperties>
</file>